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326B26" w:rsidRDefault="00976C66" w:rsidP="0039312C">
      <w:pPr>
        <w:shd w:val="clear" w:color="auto" w:fill="FFFFFF"/>
        <w:ind w:right="96"/>
        <w:jc w:val="center"/>
        <w:rPr>
          <w:b/>
          <w:bCs/>
          <w:spacing w:val="-1"/>
        </w:rPr>
      </w:pPr>
      <w:r w:rsidRPr="00976C66">
        <w:rPr>
          <w:b/>
          <w:bCs/>
          <w:spacing w:val="-1"/>
        </w:rPr>
        <w:t xml:space="preserve">на </w:t>
      </w:r>
      <w:r w:rsidR="00326B26" w:rsidRPr="00326B26">
        <w:rPr>
          <w:b/>
          <w:bCs/>
          <w:spacing w:val="-1"/>
        </w:rPr>
        <w:t xml:space="preserve">выполнение работ по установке вертикальных металлических кабельных лотков «коробов» и укладка кабелей, проводов в вертикальные металлические кабельные лотки «короба» в здании Поликлиники №1 на станции Самара, </w:t>
      </w:r>
    </w:p>
    <w:p w:rsidR="00B708BD" w:rsidRDefault="00326B26" w:rsidP="0039312C">
      <w:pPr>
        <w:shd w:val="clear" w:color="auto" w:fill="FFFFFF"/>
        <w:ind w:right="96"/>
        <w:jc w:val="center"/>
        <w:rPr>
          <w:b/>
          <w:bCs/>
          <w:spacing w:val="-1"/>
        </w:rPr>
      </w:pPr>
      <w:r w:rsidRPr="00326B26">
        <w:rPr>
          <w:b/>
          <w:bCs/>
          <w:spacing w:val="-1"/>
        </w:rPr>
        <w:t>расположенного по адресу: г</w:t>
      </w:r>
      <w:proofErr w:type="gramStart"/>
      <w:r w:rsidRPr="00326B26">
        <w:rPr>
          <w:b/>
          <w:bCs/>
          <w:spacing w:val="-1"/>
        </w:rPr>
        <w:t>.С</w:t>
      </w:r>
      <w:proofErr w:type="gramEnd"/>
      <w:r w:rsidRPr="00326B26">
        <w:rPr>
          <w:b/>
          <w:bCs/>
          <w:spacing w:val="-1"/>
        </w:rPr>
        <w:t xml:space="preserve">амара, ул. </w:t>
      </w:r>
      <w:proofErr w:type="spellStart"/>
      <w:r w:rsidRPr="00326B26">
        <w:rPr>
          <w:b/>
          <w:bCs/>
          <w:spacing w:val="-1"/>
        </w:rPr>
        <w:t>Агибалова</w:t>
      </w:r>
      <w:proofErr w:type="spellEnd"/>
      <w:r w:rsidRPr="00326B26">
        <w:rPr>
          <w:b/>
          <w:bCs/>
          <w:spacing w:val="-1"/>
        </w:rPr>
        <w:t xml:space="preserve"> 12</w:t>
      </w:r>
    </w:p>
    <w:p w:rsidR="0039312C" w:rsidRPr="007175AA" w:rsidRDefault="0039312C" w:rsidP="0039312C">
      <w:pPr>
        <w:shd w:val="clear" w:color="auto" w:fill="FFFFFF"/>
        <w:ind w:right="96"/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6753F1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</w:t>
      </w:r>
      <w:proofErr w:type="spellStart"/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Гейдешмана</w:t>
      </w:r>
      <w:proofErr w:type="spellEnd"/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Евгения Семеновича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, действующе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го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на основании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2E3F6A" w:rsidRDefault="00AC0DCE" w:rsidP="005A2E8E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 xml:space="preserve">1.1. Заказчик поручает, а Генподрядчик принимает на себя </w:t>
      </w:r>
      <w:r w:rsidR="00250028" w:rsidRPr="00CF4C20">
        <w:t xml:space="preserve">выполнение работ по установке вертикальных металлических кабельных лотков «коробов» и укладка кабелей, проводов в вертикальные металлические кабельные лотки «короба» </w:t>
      </w:r>
      <w:r w:rsidR="00250028" w:rsidRPr="008F5802">
        <w:t>в здании Поликлиники №1 на станции Самара, расположенного по адресу: г</w:t>
      </w:r>
      <w:proofErr w:type="gramStart"/>
      <w:r w:rsidR="00250028" w:rsidRPr="008F5802">
        <w:t>.С</w:t>
      </w:r>
      <w:proofErr w:type="gramEnd"/>
      <w:r w:rsidR="00250028" w:rsidRPr="008F5802">
        <w:t xml:space="preserve">амара, ул. </w:t>
      </w:r>
      <w:proofErr w:type="spellStart"/>
      <w:r w:rsidR="00250028" w:rsidRPr="008F5802">
        <w:t>Агибалова</w:t>
      </w:r>
      <w:proofErr w:type="spellEnd"/>
      <w:r w:rsidR="00250028" w:rsidRPr="008F5802">
        <w:t xml:space="preserve"> 12</w:t>
      </w:r>
      <w:r w:rsidR="00250028">
        <w:t xml:space="preserve">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</w:p>
    <w:p w:rsidR="0039312C" w:rsidRPr="00C847A4" w:rsidRDefault="00250028" w:rsidP="0039312C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З</w:t>
      </w:r>
      <w:r w:rsidR="0039312C" w:rsidRPr="0039312C">
        <w:rPr>
          <w:rFonts w:eastAsia="Times New Roman"/>
          <w:sz w:val="24"/>
          <w:szCs w:val="24"/>
          <w:lang w:eastAsia="zh-CN"/>
        </w:rPr>
        <w:t>дани</w:t>
      </w:r>
      <w:r>
        <w:rPr>
          <w:rFonts w:eastAsia="Times New Roman"/>
          <w:sz w:val="24"/>
          <w:szCs w:val="24"/>
          <w:lang w:eastAsia="zh-CN"/>
        </w:rPr>
        <w:t>е</w:t>
      </w:r>
      <w:r w:rsidR="0039312C" w:rsidRPr="0039312C">
        <w:rPr>
          <w:rFonts w:eastAsia="Times New Roman"/>
          <w:sz w:val="24"/>
          <w:szCs w:val="24"/>
          <w:lang w:eastAsia="zh-CN"/>
        </w:rPr>
        <w:t xml:space="preserve"> Поликлиники №1 на станции Самара, расположенно</w:t>
      </w:r>
      <w:r>
        <w:rPr>
          <w:rFonts w:eastAsia="Times New Roman"/>
          <w:sz w:val="24"/>
          <w:szCs w:val="24"/>
          <w:lang w:eastAsia="zh-CN"/>
        </w:rPr>
        <w:t>е</w:t>
      </w:r>
      <w:r w:rsidR="0039312C" w:rsidRPr="0039312C">
        <w:rPr>
          <w:rFonts w:eastAsia="Times New Roman"/>
          <w:sz w:val="24"/>
          <w:szCs w:val="24"/>
          <w:lang w:eastAsia="zh-CN"/>
        </w:rPr>
        <w:t xml:space="preserve"> по адресу: г</w:t>
      </w:r>
      <w:proofErr w:type="gramStart"/>
      <w:r w:rsidR="0039312C" w:rsidRPr="0039312C">
        <w:rPr>
          <w:rFonts w:eastAsia="Times New Roman"/>
          <w:sz w:val="24"/>
          <w:szCs w:val="24"/>
          <w:lang w:eastAsia="zh-CN"/>
        </w:rPr>
        <w:t>.С</w:t>
      </w:r>
      <w:proofErr w:type="gramEnd"/>
      <w:r w:rsidR="0039312C" w:rsidRPr="0039312C">
        <w:rPr>
          <w:rFonts w:eastAsia="Times New Roman"/>
          <w:sz w:val="24"/>
          <w:szCs w:val="24"/>
          <w:lang w:eastAsia="zh-CN"/>
        </w:rPr>
        <w:t xml:space="preserve">амара, ул. </w:t>
      </w:r>
      <w:proofErr w:type="spellStart"/>
      <w:r w:rsidR="0039312C" w:rsidRPr="0039312C">
        <w:rPr>
          <w:rFonts w:eastAsia="Times New Roman"/>
          <w:sz w:val="24"/>
          <w:szCs w:val="24"/>
          <w:lang w:eastAsia="zh-CN"/>
        </w:rPr>
        <w:t>Агибалова</w:t>
      </w:r>
      <w:proofErr w:type="spellEnd"/>
      <w:r w:rsidR="0039312C" w:rsidRPr="0039312C">
        <w:rPr>
          <w:rFonts w:eastAsia="Times New Roman"/>
          <w:sz w:val="24"/>
          <w:szCs w:val="24"/>
          <w:lang w:eastAsia="zh-CN"/>
        </w:rPr>
        <w:t xml:space="preserve"> 12</w:t>
      </w:r>
      <w:r w:rsidR="00AC0DCE" w:rsidRPr="0039312C">
        <w:rPr>
          <w:rFonts w:eastAsia="Times New Roman"/>
          <w:sz w:val="24"/>
          <w:szCs w:val="24"/>
          <w:lang w:eastAsia="zh-CN"/>
        </w:rPr>
        <w:t xml:space="preserve">, </w:t>
      </w:r>
      <w:r w:rsidR="0039312C" w:rsidRPr="00C847A4">
        <w:rPr>
          <w:rFonts w:eastAsia="Times New Roman"/>
          <w:sz w:val="24"/>
          <w:szCs w:val="24"/>
          <w:lang w:eastAsia="zh-CN"/>
        </w:rPr>
        <w:t>инвентарный номер объекта недвижимости - 7100707, сетевой номер по (</w:t>
      </w:r>
      <w:proofErr w:type="spellStart"/>
      <w:r w:rsidR="0039312C" w:rsidRPr="00C847A4">
        <w:rPr>
          <w:rFonts w:eastAsia="Times New Roman"/>
          <w:sz w:val="24"/>
          <w:szCs w:val="24"/>
          <w:lang w:eastAsia="zh-CN"/>
        </w:rPr>
        <w:t>СУиК</w:t>
      </w:r>
      <w:proofErr w:type="spellEnd"/>
      <w:r w:rsidR="0039312C" w:rsidRPr="00C847A4">
        <w:rPr>
          <w:rFonts w:eastAsia="Times New Roman"/>
          <w:sz w:val="24"/>
          <w:szCs w:val="24"/>
          <w:lang w:eastAsia="zh-CN"/>
        </w:rPr>
        <w:t>) - V351/11000000/15, именуемый в дальнейшем "Объект".</w:t>
      </w:r>
    </w:p>
    <w:p w:rsidR="0039312C" w:rsidRDefault="0039312C" w:rsidP="0039312C">
      <w:pPr>
        <w:shd w:val="clear" w:color="auto" w:fill="FFFFFF"/>
        <w:ind w:firstLine="720"/>
        <w:jc w:val="both"/>
      </w:pPr>
      <w:r w:rsidRPr="00E843DE">
        <w:t xml:space="preserve">Общая площадь Объекта составляет - </w:t>
      </w:r>
      <w:r>
        <w:t>6 144,6</w:t>
      </w:r>
      <w:r w:rsidRPr="00E843DE">
        <w:t xml:space="preserve"> кв.м., 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39312C" w:rsidRDefault="0039312C" w:rsidP="0039312C">
      <w:pPr>
        <w:shd w:val="clear" w:color="auto" w:fill="FFFFFF"/>
        <w:tabs>
          <w:tab w:val="left" w:pos="142"/>
        </w:tabs>
        <w:ind w:firstLine="720"/>
        <w:jc w:val="both"/>
      </w:pPr>
      <w:r>
        <w:t>Выписка из Единого государственного реестра недвижимости об объекте недвижимости от 09.09.2017</w:t>
      </w:r>
      <w:proofErr w:type="gramStart"/>
      <w:r>
        <w:t>г. б</w:t>
      </w:r>
      <w:proofErr w:type="gramEnd"/>
      <w:r>
        <w:t>/</w:t>
      </w:r>
      <w:proofErr w:type="spellStart"/>
      <w:r>
        <w:t>н</w:t>
      </w:r>
      <w:proofErr w:type="spellEnd"/>
      <w:r>
        <w:t>:</w:t>
      </w:r>
    </w:p>
    <w:p w:rsidR="0039312C" w:rsidRDefault="0039312C" w:rsidP="0039312C">
      <w:pPr>
        <w:shd w:val="clear" w:color="auto" w:fill="FFFFFF"/>
        <w:tabs>
          <w:tab w:val="left" w:pos="142"/>
        </w:tabs>
        <w:ind w:firstLine="720"/>
        <w:jc w:val="both"/>
      </w:pPr>
      <w:r>
        <w:t>право собственности ОАО "РЖД" на объект №63-63-01/048/2012-185 от 28.04.2012;</w:t>
      </w:r>
    </w:p>
    <w:p w:rsidR="0039312C" w:rsidRDefault="0039312C" w:rsidP="0039312C">
      <w:pPr>
        <w:shd w:val="clear" w:color="auto" w:fill="FFFFFF"/>
        <w:tabs>
          <w:tab w:val="left" w:pos="142"/>
        </w:tabs>
        <w:ind w:firstLine="720"/>
        <w:jc w:val="both"/>
      </w:pPr>
      <w:r>
        <w:t>право оперативного управления Заказчика на объект 63-63-01/084/2012-104 от 28.04.2012.</w:t>
      </w:r>
    </w:p>
    <w:p w:rsidR="00AC0DCE" w:rsidRPr="007175AA" w:rsidRDefault="00AC0DCE" w:rsidP="0039312C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>1.2. 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1.</w:t>
      </w:r>
      <w:r w:rsidR="00CD686C">
        <w:t>3</w:t>
      </w:r>
      <w:r w:rsidRPr="007175AA">
        <w:t>. 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 (Приложение №2 к настоящему договору),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</w:t>
      </w:r>
      <w:r w:rsidRPr="007175AA">
        <w:lastRenderedPageBreak/>
        <w:t xml:space="preserve">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AC0DCE" w:rsidRPr="007175AA" w:rsidRDefault="00561688" w:rsidP="005A2E8E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r w:rsidR="00AC0DCE" w:rsidRPr="00561688">
        <w:t>Окончательная оплата</w:t>
      </w:r>
      <w:r w:rsidR="00CD686C" w:rsidRPr="00561688">
        <w:t>, с учетом ранее выплаченного аванса,</w:t>
      </w:r>
      <w:r w:rsidR="00AC0DCE" w:rsidRPr="00561688">
        <w:t xml:space="preserve"> производится за фактически выполненные и принятые объемы работ, предусмотренные настоящим договором, в течение 60 (шестидесяти) дней, при условии получения от Генподрядчика полного комплекта документов (в т.ч.: счета, акта сдач</w:t>
      </w:r>
      <w:proofErr w:type="gramStart"/>
      <w:r w:rsidR="00AC0DCE" w:rsidRPr="00561688">
        <w:t>и-</w:t>
      </w:r>
      <w:proofErr w:type="gramEnd"/>
      <w:r w:rsidR="00AC0DCE" w:rsidRPr="00561688">
        <w:t xml:space="preserve"> 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2.5.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4. ОБЯЗАТЕЛЬСТВА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lastRenderedPageBreak/>
        <w:t>5.8.</w:t>
      </w:r>
      <w:r w:rsidRPr="007175AA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0C558A" w:rsidRPr="007175AA" w:rsidRDefault="00AC0DCE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</w:t>
      </w:r>
      <w:r w:rsidR="000C558A" w:rsidRPr="007175AA">
        <w:t>:</w:t>
      </w:r>
    </w:p>
    <w:p w:rsidR="000C558A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 w:rsidR="00567D29">
        <w:t>роительно-монтажные работы при текущем</w:t>
      </w:r>
      <w:r w:rsidRPr="007175AA">
        <w:t xml:space="preserve"> ремонте 5 лет </w:t>
      </w:r>
      <w:proofErr w:type="gramStart"/>
      <w:r w:rsidRPr="007175AA">
        <w:t>с даты подписания</w:t>
      </w:r>
      <w:proofErr w:type="gramEnd"/>
      <w:r w:rsidRPr="007175AA">
        <w:t xml:space="preserve"> Сторонами акта о приемке Объекта после ремонта;</w:t>
      </w:r>
      <w:r w:rsidR="00AC0DCE" w:rsidRPr="007175AA">
        <w:t xml:space="preserve"> </w:t>
      </w:r>
    </w:p>
    <w:p w:rsidR="00AC0DCE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</w:t>
      </w:r>
      <w:r w:rsidR="00AC0DCE" w:rsidRPr="007175AA">
        <w:t xml:space="preserve">нормальной эксплуатации Объекта и входящих в него инженерных систем, оборудования, материалов и работ устанавливается </w:t>
      </w:r>
      <w:r w:rsidRPr="007175AA">
        <w:t>2</w:t>
      </w:r>
      <w:r w:rsidR="00AC0DCE" w:rsidRPr="007175AA">
        <w:t xml:space="preserve"> (</w:t>
      </w:r>
      <w:r w:rsidRPr="007175AA">
        <w:t>два</w:t>
      </w:r>
      <w:r w:rsidR="00AC0DCE" w:rsidRPr="007175AA">
        <w:t>) год</w:t>
      </w:r>
      <w:r w:rsidRPr="007175AA">
        <w:t>а</w:t>
      </w:r>
      <w:r w:rsidR="00AC0DCE" w:rsidRPr="007175AA">
        <w:t xml:space="preserve"> с момента подписания Сторонами акта о приемке Объекта после ремонта.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 xml:space="preserve"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</w:t>
      </w:r>
      <w:r w:rsidRPr="007175AA">
        <w:lastRenderedPageBreak/>
        <w:t>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7D7FAF">
        <w:t>8 846 372 21 50</w:t>
      </w:r>
      <w:r w:rsidR="007D7FAF" w:rsidRPr="0071086F">
        <w:t xml:space="preserve">, официальный сайт </w:t>
      </w:r>
      <w:r w:rsidR="007D7FAF">
        <w:t>https://dkb63.ru</w:t>
      </w:r>
      <w:r w:rsidR="007D7FAF" w:rsidRPr="0071086F">
        <w:t xml:space="preserve"> </w:t>
      </w:r>
      <w:r w:rsidRPr="00167CBE">
        <w:t>(для заполнения специальной формы).</w:t>
      </w:r>
    </w:p>
    <w:p w:rsidR="00CD686C" w:rsidRPr="00167CBE" w:rsidRDefault="00CD686C" w:rsidP="005A2E8E">
      <w:pPr>
        <w:ind w:firstLine="709"/>
        <w:jc w:val="both"/>
      </w:pPr>
      <w:r w:rsidRPr="00167CBE">
        <w:lastRenderedPageBreak/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5A2E8E">
      <w:pPr>
        <w:ind w:firstLine="709"/>
        <w:jc w:val="both"/>
      </w:pPr>
      <w:r w:rsidRPr="00676F63"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AC0DCE" w:rsidRPr="007175AA" w:rsidRDefault="00AC0DCE" w:rsidP="005A2E8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КОНФИДЕНЦИАЛЬНОСТЬ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7175AA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Стороны обязуются обеспечить, чтобы их работники и </w:t>
      </w:r>
      <w:proofErr w:type="gramStart"/>
      <w:r w:rsidRPr="007175AA">
        <w:t>другие</w:t>
      </w:r>
      <w:proofErr w:type="gramEnd"/>
      <w:r w:rsidRPr="007175AA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7175AA">
        <w:t>,</w:t>
      </w:r>
      <w:proofErr w:type="gramEnd"/>
      <w:r w:rsidRPr="007175AA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Сторона, которая не исполняет свои обязательства вследствие действия обстоятельств непреодолимой силы, должна по возможности не позднее, чем в </w:t>
      </w:r>
      <w:r w:rsidRPr="007175AA">
        <w:lastRenderedPageBreak/>
        <w:t>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</w:t>
      </w:r>
      <w:r w:rsidRPr="007175AA">
        <w:lastRenderedPageBreak/>
        <w:t>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r w:rsidRPr="00CD686C">
        <w:t>зарегистрирован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lastRenderedPageBreak/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5A2E8E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5A2E8E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 xml:space="preserve">Настоящий Договор составлен в двух экземплярах, имеющих одинаковую силу, по </w:t>
      </w:r>
      <w:r w:rsidRPr="007175AA">
        <w:lastRenderedPageBreak/>
        <w:t>одному для каждой из Сторон.</w:t>
      </w:r>
    </w:p>
    <w:p w:rsidR="00CD686C" w:rsidRDefault="00AC0DCE" w:rsidP="005A2E8E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Приложения к настоящему договору: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5A2E8E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AC0DCE" w:rsidRPr="007175AA" w:rsidRDefault="00CD686C" w:rsidP="005A2E8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7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612A90">
          <w:headerReference w:type="even" r:id="rId8"/>
          <w:headerReference w:type="default" r:id="rId9"/>
          <w:pgSz w:w="11909" w:h="16834"/>
          <w:pgMar w:top="1134" w:right="1134" w:bottom="1134" w:left="1418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  <w:r w:rsidRPr="007175AA">
        <w:t xml:space="preserve">Приложение № 1 </w:t>
      </w:r>
    </w:p>
    <w:p w:rsidR="0031083F" w:rsidRPr="007175AA" w:rsidRDefault="0031083F" w:rsidP="005A2E8E">
      <w:pPr>
        <w:jc w:val="right"/>
      </w:pPr>
      <w:r w:rsidRPr="007175AA">
        <w:t xml:space="preserve">к договору № _______________ </w:t>
      </w:r>
      <w:proofErr w:type="gramStart"/>
      <w:r w:rsidRPr="007175AA">
        <w:t>от</w:t>
      </w:r>
      <w:proofErr w:type="gramEnd"/>
      <w:r w:rsidRPr="007175AA">
        <w:t xml:space="preserve"> ___________</w:t>
      </w:r>
    </w:p>
    <w:p w:rsidR="003E3688" w:rsidRDefault="003E3688" w:rsidP="003E3688">
      <w:pPr>
        <w:jc w:val="center"/>
        <w:rPr>
          <w:b/>
        </w:rPr>
      </w:pPr>
    </w:p>
    <w:p w:rsidR="003E3688" w:rsidRPr="0034227E" w:rsidRDefault="003E3688" w:rsidP="003E3688">
      <w:pPr>
        <w:jc w:val="center"/>
        <w:rPr>
          <w:b/>
        </w:rPr>
      </w:pPr>
      <w:r w:rsidRPr="0034227E">
        <w:rPr>
          <w:b/>
        </w:rPr>
        <w:t>ТЕХНИЧЕСКОЕ ЗАДАНИЕ</w:t>
      </w:r>
    </w:p>
    <w:p w:rsidR="003E3688" w:rsidRPr="0034227E" w:rsidRDefault="003E3688" w:rsidP="003E3688">
      <w:pPr>
        <w:jc w:val="center"/>
        <w:rPr>
          <w:b/>
        </w:rPr>
      </w:pPr>
      <w:r w:rsidRPr="0034227E">
        <w:rPr>
          <w:b/>
        </w:rPr>
        <w:t xml:space="preserve">На </w:t>
      </w:r>
      <w:r w:rsidRPr="003E3688">
        <w:rPr>
          <w:b/>
        </w:rPr>
        <w:t>выполнение работ по установке вертикальных металлических кабельных лотков «коробов» и укладка кабелей, проводов в вертикальные металлические кабельные лотки «короба» в здании Поликлиники №1 на станции Самара, расположенного по адресу: г</w:t>
      </w:r>
      <w:proofErr w:type="gramStart"/>
      <w:r w:rsidRPr="003E3688">
        <w:rPr>
          <w:b/>
        </w:rPr>
        <w:t>.С</w:t>
      </w:r>
      <w:proofErr w:type="gramEnd"/>
      <w:r w:rsidRPr="003E3688">
        <w:rPr>
          <w:b/>
        </w:rPr>
        <w:t xml:space="preserve">амара, ул. </w:t>
      </w:r>
      <w:proofErr w:type="spellStart"/>
      <w:r w:rsidRPr="003E3688">
        <w:rPr>
          <w:b/>
        </w:rPr>
        <w:t>Агибалова</w:t>
      </w:r>
      <w:proofErr w:type="spellEnd"/>
      <w:r w:rsidRPr="003E3688">
        <w:rPr>
          <w:b/>
        </w:rPr>
        <w:t xml:space="preserve"> 12</w:t>
      </w:r>
    </w:p>
    <w:p w:rsidR="003E3688" w:rsidRPr="00455933" w:rsidRDefault="003E3688" w:rsidP="003E3688">
      <w:pPr>
        <w:ind w:left="708"/>
        <w:rPr>
          <w:b/>
          <w:sz w:val="20"/>
          <w:szCs w:val="20"/>
        </w:rPr>
      </w:pPr>
    </w:p>
    <w:p w:rsidR="003E3688" w:rsidRPr="0034227E" w:rsidRDefault="003E3688" w:rsidP="003E3688">
      <w:pPr>
        <w:numPr>
          <w:ilvl w:val="0"/>
          <w:numId w:val="17"/>
        </w:numPr>
        <w:tabs>
          <w:tab w:val="clear" w:pos="720"/>
          <w:tab w:val="num" w:pos="1275"/>
        </w:tabs>
        <w:suppressAutoHyphens w:val="0"/>
        <w:ind w:left="1275" w:firstLine="0"/>
        <w:jc w:val="center"/>
        <w:rPr>
          <w:b/>
        </w:rPr>
      </w:pPr>
      <w:r w:rsidRPr="0034227E">
        <w:rPr>
          <w:b/>
        </w:rPr>
        <w:t>Цели и назначение работ</w:t>
      </w:r>
    </w:p>
    <w:p w:rsidR="003E3688" w:rsidRPr="0034227E" w:rsidRDefault="003E3688" w:rsidP="003E3688">
      <w:pPr>
        <w:tabs>
          <w:tab w:val="left" w:pos="0"/>
        </w:tabs>
        <w:jc w:val="both"/>
      </w:pPr>
      <w:r w:rsidRPr="0034227E">
        <w:t xml:space="preserve">Основной целью </w:t>
      </w:r>
      <w:r w:rsidR="00250028" w:rsidRPr="00CF4C20">
        <w:t xml:space="preserve">работ по установке вертикальных металлических кабельных лотков «коробов» и укладка кабелей, проводов в вертикальные металлические кабельные лотки «короба» </w:t>
      </w:r>
      <w:r w:rsidR="00250028" w:rsidRPr="008F5802">
        <w:t>в здании Поликлиники №1 на станции Самара, расположенного по адресу: г</w:t>
      </w:r>
      <w:proofErr w:type="gramStart"/>
      <w:r w:rsidR="00250028" w:rsidRPr="008F5802">
        <w:t>.С</w:t>
      </w:r>
      <w:proofErr w:type="gramEnd"/>
      <w:r w:rsidR="00250028" w:rsidRPr="008F5802">
        <w:t xml:space="preserve">амара, ул. </w:t>
      </w:r>
      <w:proofErr w:type="spellStart"/>
      <w:r w:rsidR="00250028" w:rsidRPr="008F5802">
        <w:t>Агибалова</w:t>
      </w:r>
      <w:proofErr w:type="spellEnd"/>
      <w:r w:rsidR="00250028" w:rsidRPr="008F5802">
        <w:t xml:space="preserve"> 12</w:t>
      </w:r>
      <w:r w:rsidR="00250028">
        <w:t xml:space="preserve"> </w:t>
      </w:r>
      <w:r w:rsidRPr="0034227E">
        <w:t xml:space="preserve">является </w:t>
      </w:r>
      <w:r>
        <w:t xml:space="preserve">обеспечение пожарной безопасности, </w:t>
      </w:r>
      <w:proofErr w:type="spellStart"/>
      <w:r>
        <w:t>электробезопасности</w:t>
      </w:r>
      <w:proofErr w:type="spellEnd"/>
      <w:r>
        <w:t xml:space="preserve"> и безопасной эксплуатации кабельной трассы. Необходимо соблюдать требования правил устройств электроустановок (ПУЭ) п.п.2.1.10, 2.1.11, 2.1.16, 2.1.19, 2.1.20, 2.1.29, 2.1.36, 2.1.57, 2.1.58, 2.1.59, 2.1.60, 2.1.61. Правила технической эксплуатации электроустановок потребителей (ПТЭЭП) п.2.4. </w:t>
      </w:r>
      <w:proofErr w:type="spellStart"/>
      <w:r>
        <w:t>СНиП</w:t>
      </w:r>
      <w:proofErr w:type="spellEnd"/>
      <w:r>
        <w:t xml:space="preserve"> 3.05.06 - 85. </w:t>
      </w:r>
    </w:p>
    <w:p w:rsidR="003E3688" w:rsidRPr="0034227E" w:rsidRDefault="003E3688" w:rsidP="003E3688">
      <w:pPr>
        <w:tabs>
          <w:tab w:val="num" w:pos="567"/>
        </w:tabs>
        <w:ind w:left="567"/>
        <w:jc w:val="both"/>
      </w:pPr>
    </w:p>
    <w:p w:rsidR="003E3688" w:rsidRPr="0034227E" w:rsidRDefault="003E3688" w:rsidP="003E3688">
      <w:pPr>
        <w:numPr>
          <w:ilvl w:val="0"/>
          <w:numId w:val="17"/>
        </w:numPr>
        <w:tabs>
          <w:tab w:val="clear" w:pos="720"/>
          <w:tab w:val="num" w:pos="0"/>
        </w:tabs>
        <w:suppressAutoHyphens w:val="0"/>
        <w:ind w:left="0" w:firstLine="0"/>
        <w:jc w:val="center"/>
        <w:rPr>
          <w:b/>
        </w:rPr>
      </w:pPr>
      <w:r w:rsidRPr="0034227E">
        <w:rPr>
          <w:b/>
        </w:rPr>
        <w:t>Наименование и адреса объектов</w:t>
      </w:r>
    </w:p>
    <w:p w:rsidR="003E3688" w:rsidRPr="00B4700A" w:rsidRDefault="003E3688" w:rsidP="003E3688">
      <w:pPr>
        <w:tabs>
          <w:tab w:val="num" w:pos="0"/>
        </w:tabs>
      </w:pPr>
      <w:r>
        <w:t>В</w:t>
      </w:r>
      <w:r w:rsidRPr="00CF4C20">
        <w:t xml:space="preserve">ыполнение работ по установке вертикальных металлических кабельных лотков «коробов» и укладка кабелей, проводов в вертикальные металлические кабельные лотки «короба» </w:t>
      </w:r>
      <w:r w:rsidRPr="008F5802">
        <w:t>в здании Поликлиники №1 на станции Самара, расположенного по адресу: г</w:t>
      </w:r>
      <w:proofErr w:type="gramStart"/>
      <w:r w:rsidRPr="008F5802">
        <w:t>.С</w:t>
      </w:r>
      <w:proofErr w:type="gramEnd"/>
      <w:r w:rsidRPr="008F5802">
        <w:t xml:space="preserve">амара, ул. </w:t>
      </w:r>
      <w:proofErr w:type="spellStart"/>
      <w:r w:rsidRPr="008F5802">
        <w:t>Агибалова</w:t>
      </w:r>
      <w:proofErr w:type="spellEnd"/>
      <w:r w:rsidRPr="008F5802">
        <w:t xml:space="preserve"> 12</w:t>
      </w:r>
      <w:r>
        <w:t>.</w:t>
      </w:r>
    </w:p>
    <w:p w:rsidR="003E3688" w:rsidRPr="0034227E" w:rsidRDefault="003E3688" w:rsidP="003E3688">
      <w:pPr>
        <w:tabs>
          <w:tab w:val="num" w:pos="0"/>
        </w:tabs>
        <w:jc w:val="both"/>
      </w:pPr>
    </w:p>
    <w:p w:rsidR="003E3688" w:rsidRPr="0034227E" w:rsidRDefault="003E3688" w:rsidP="003E3688">
      <w:pPr>
        <w:numPr>
          <w:ilvl w:val="0"/>
          <w:numId w:val="17"/>
        </w:numPr>
        <w:tabs>
          <w:tab w:val="clear" w:pos="720"/>
          <w:tab w:val="num" w:pos="0"/>
        </w:tabs>
        <w:suppressAutoHyphens w:val="0"/>
        <w:ind w:left="0" w:firstLine="0"/>
        <w:jc w:val="center"/>
        <w:rPr>
          <w:b/>
        </w:rPr>
      </w:pPr>
      <w:r w:rsidRPr="0034227E">
        <w:rPr>
          <w:b/>
        </w:rPr>
        <w:t>Срок выполнения работ</w:t>
      </w:r>
    </w:p>
    <w:p w:rsidR="003E3688" w:rsidRDefault="003E3688" w:rsidP="003E3688">
      <w:pPr>
        <w:tabs>
          <w:tab w:val="num" w:pos="0"/>
        </w:tabs>
        <w:jc w:val="both"/>
      </w:pPr>
      <w:r>
        <w:t>В</w:t>
      </w:r>
      <w:r w:rsidRPr="005124E3">
        <w:t xml:space="preserve"> течение </w:t>
      </w:r>
      <w:r w:rsidR="00326B26">
        <w:t>3</w:t>
      </w:r>
      <w:r w:rsidRPr="005124E3">
        <w:t>0</w:t>
      </w:r>
      <w:r>
        <w:t xml:space="preserve"> календарных дней с момента заключения договора.</w:t>
      </w:r>
    </w:p>
    <w:p w:rsidR="003E3688" w:rsidRPr="0034227E" w:rsidRDefault="003E3688" w:rsidP="003E3688">
      <w:pPr>
        <w:tabs>
          <w:tab w:val="num" w:pos="0"/>
        </w:tabs>
        <w:jc w:val="both"/>
      </w:pPr>
    </w:p>
    <w:p w:rsidR="003E3688" w:rsidRPr="0034227E" w:rsidRDefault="003E3688" w:rsidP="003E3688">
      <w:pPr>
        <w:numPr>
          <w:ilvl w:val="0"/>
          <w:numId w:val="17"/>
        </w:numPr>
        <w:tabs>
          <w:tab w:val="clear" w:pos="720"/>
          <w:tab w:val="num" w:pos="567"/>
        </w:tabs>
        <w:suppressAutoHyphens w:val="0"/>
        <w:ind w:left="567" w:firstLine="0"/>
        <w:jc w:val="center"/>
        <w:rPr>
          <w:b/>
        </w:rPr>
      </w:pPr>
      <w:r w:rsidRPr="0034227E">
        <w:rPr>
          <w:b/>
        </w:rPr>
        <w:t>Вид и название работ</w:t>
      </w:r>
    </w:p>
    <w:p w:rsidR="003E3688" w:rsidRPr="00B3181A" w:rsidRDefault="003E3688" w:rsidP="003E3688">
      <w:pPr>
        <w:ind w:left="708"/>
        <w:rPr>
          <w:b/>
        </w:rPr>
      </w:pPr>
      <w:r w:rsidRPr="00B3181A">
        <w:rPr>
          <w:b/>
        </w:rPr>
        <w:t>Характеристики здания: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961"/>
      </w:tblGrid>
      <w:tr w:rsidR="003E3688" w:rsidTr="003E3688">
        <w:tc>
          <w:tcPr>
            <w:tcW w:w="5387" w:type="dxa"/>
          </w:tcPr>
          <w:p w:rsidR="003E3688" w:rsidRPr="001C74C6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Назначение здания</w:t>
            </w:r>
          </w:p>
        </w:tc>
        <w:tc>
          <w:tcPr>
            <w:tcW w:w="4961" w:type="dxa"/>
          </w:tcPr>
          <w:p w:rsidR="003E3688" w:rsidRPr="00500E36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Нежилое здание</w:t>
            </w:r>
          </w:p>
        </w:tc>
      </w:tr>
      <w:tr w:rsidR="003E3688" w:rsidTr="003E3688">
        <w:tc>
          <w:tcPr>
            <w:tcW w:w="5387" w:type="dxa"/>
          </w:tcPr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Количество этажей</w:t>
            </w:r>
          </w:p>
          <w:p w:rsidR="003E3688" w:rsidRPr="00DC283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4961" w:type="dxa"/>
          </w:tcPr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  <w:p w:rsidR="003E3688" w:rsidRPr="00DC283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E3688" w:rsidTr="003E3688">
        <w:tc>
          <w:tcPr>
            <w:tcW w:w="5387" w:type="dxa"/>
          </w:tcPr>
          <w:p w:rsidR="003E3688" w:rsidRPr="00DC283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Материал наружных стен здания</w:t>
            </w:r>
          </w:p>
        </w:tc>
        <w:tc>
          <w:tcPr>
            <w:tcW w:w="4961" w:type="dxa"/>
          </w:tcPr>
          <w:p w:rsidR="003E3688" w:rsidRPr="00DC283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Кирпичные</w:t>
            </w:r>
          </w:p>
        </w:tc>
      </w:tr>
      <w:tr w:rsidR="003E3688" w:rsidTr="003E3688">
        <w:tc>
          <w:tcPr>
            <w:tcW w:w="5387" w:type="dxa"/>
          </w:tcPr>
          <w:p w:rsidR="003E3688" w:rsidRPr="00DC283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Перегородки-перекрытия чердачные, междуэтажные, подвальные</w:t>
            </w:r>
          </w:p>
        </w:tc>
        <w:tc>
          <w:tcPr>
            <w:tcW w:w="4961" w:type="dxa"/>
          </w:tcPr>
          <w:p w:rsidR="003E3688" w:rsidRPr="00DC283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Железобетонные</w:t>
            </w:r>
          </w:p>
        </w:tc>
      </w:tr>
      <w:tr w:rsidR="003E3688" w:rsidTr="003E3688">
        <w:tc>
          <w:tcPr>
            <w:tcW w:w="5387" w:type="dxa"/>
          </w:tcPr>
          <w:p w:rsidR="003E3688" w:rsidRPr="00DC283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Высота потолков</w:t>
            </w:r>
          </w:p>
        </w:tc>
        <w:tc>
          <w:tcPr>
            <w:tcW w:w="4961" w:type="dxa"/>
          </w:tcPr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 xml:space="preserve">1-й этаж – 4,25м 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 xml:space="preserve">2-й этаж – 3,95м </w:t>
            </w:r>
          </w:p>
          <w:p w:rsidR="003E3688" w:rsidRPr="00DC283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3-й этаж – 4,4м</w:t>
            </w:r>
          </w:p>
        </w:tc>
      </w:tr>
    </w:tbl>
    <w:p w:rsidR="003E3688" w:rsidRDefault="003E3688" w:rsidP="003E3688">
      <w:pPr>
        <w:ind w:left="708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4811"/>
        <w:gridCol w:w="1601"/>
        <w:gridCol w:w="3436"/>
      </w:tblGrid>
      <w:tr w:rsidR="003E3688" w:rsidRPr="003B3FFD" w:rsidTr="003E3688">
        <w:tc>
          <w:tcPr>
            <w:tcW w:w="576" w:type="dxa"/>
          </w:tcPr>
          <w:p w:rsidR="003E3688" w:rsidRPr="00C42908" w:rsidRDefault="003E3688" w:rsidP="00C93C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42908">
              <w:rPr>
                <w:b/>
              </w:rPr>
              <w:t xml:space="preserve">№ </w:t>
            </w:r>
            <w:proofErr w:type="spellStart"/>
            <w:proofErr w:type="gramStart"/>
            <w:r w:rsidRPr="00C42908">
              <w:rPr>
                <w:b/>
              </w:rPr>
              <w:t>п</w:t>
            </w:r>
            <w:proofErr w:type="spellEnd"/>
            <w:proofErr w:type="gramEnd"/>
            <w:r w:rsidRPr="00C42908">
              <w:rPr>
                <w:b/>
              </w:rPr>
              <w:t>/</w:t>
            </w:r>
            <w:proofErr w:type="spellStart"/>
            <w:r w:rsidRPr="00C42908">
              <w:rPr>
                <w:b/>
              </w:rPr>
              <w:t>п</w:t>
            </w:r>
            <w:proofErr w:type="spellEnd"/>
          </w:p>
        </w:tc>
        <w:tc>
          <w:tcPr>
            <w:tcW w:w="4811" w:type="dxa"/>
          </w:tcPr>
          <w:p w:rsidR="003E3688" w:rsidRPr="00C42908" w:rsidRDefault="003E3688" w:rsidP="00C93C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42908">
              <w:rPr>
                <w:b/>
              </w:rPr>
              <w:t>Наименование</w:t>
            </w:r>
          </w:p>
        </w:tc>
        <w:tc>
          <w:tcPr>
            <w:tcW w:w="1601" w:type="dxa"/>
          </w:tcPr>
          <w:p w:rsidR="003E3688" w:rsidRPr="00C42908" w:rsidRDefault="003E3688" w:rsidP="00C93C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42908">
              <w:rPr>
                <w:b/>
              </w:rPr>
              <w:t>Ед</w:t>
            </w:r>
            <w:proofErr w:type="gramStart"/>
            <w:r w:rsidRPr="00C42908">
              <w:rPr>
                <w:b/>
              </w:rPr>
              <w:t>.и</w:t>
            </w:r>
            <w:proofErr w:type="gramEnd"/>
            <w:r w:rsidRPr="00C42908">
              <w:rPr>
                <w:b/>
              </w:rPr>
              <w:t>зм</w:t>
            </w:r>
            <w:proofErr w:type="spellEnd"/>
          </w:p>
        </w:tc>
        <w:tc>
          <w:tcPr>
            <w:tcW w:w="3436" w:type="dxa"/>
          </w:tcPr>
          <w:p w:rsidR="003E3688" w:rsidRPr="00C42908" w:rsidRDefault="003E3688" w:rsidP="00C93C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42908">
              <w:rPr>
                <w:b/>
              </w:rPr>
              <w:t>Количество</w:t>
            </w: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Демонтаж встроенных перегородок-ниш из дерева (ДСП) закрывающие стояковые кабели и провода на этажах.</w:t>
            </w:r>
          </w:p>
        </w:tc>
        <w:tc>
          <w:tcPr>
            <w:tcW w:w="1601" w:type="dxa"/>
          </w:tcPr>
          <w:p w:rsidR="003E3688" w:rsidRPr="00C42908" w:rsidRDefault="003E3688" w:rsidP="00C93C2B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м</w:t>
            </w:r>
            <w:proofErr w:type="gramStart"/>
            <w:r w:rsidRPr="00C4290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436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Сверление сквозное в кирпичной стене до 400 мм.</w:t>
            </w:r>
          </w:p>
        </w:tc>
        <w:tc>
          <w:tcPr>
            <w:tcW w:w="160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3436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Монтаж вертикального металлического кабельного лотка на кирпичной стене шириной до 400 мм.</w:t>
            </w:r>
          </w:p>
        </w:tc>
        <w:tc>
          <w:tcPr>
            <w:tcW w:w="160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3436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3E3688" w:rsidRPr="00FB4856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Сверление отверстий на кирпичной стене диаметром  до 20мм под установку вертикальных металлических лотков.</w:t>
            </w:r>
          </w:p>
        </w:tc>
        <w:tc>
          <w:tcPr>
            <w:tcW w:w="160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3436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Сверление отверстий в кирпичной стене диаметром  до 20мм под установку вертикальных металлических лотков на высоте выше 3 м.</w:t>
            </w:r>
          </w:p>
        </w:tc>
        <w:tc>
          <w:tcPr>
            <w:tcW w:w="160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3436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16B30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16B30">
              <w:t>Монтаж кронштейна для лотка до 400 мм с креплением к кирпичной стене.</w:t>
            </w:r>
          </w:p>
        </w:tc>
        <w:tc>
          <w:tcPr>
            <w:tcW w:w="1601" w:type="dxa"/>
          </w:tcPr>
          <w:p w:rsidR="003E3688" w:rsidRPr="00316B30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16B30">
              <w:t>шт.</w:t>
            </w:r>
          </w:p>
        </w:tc>
        <w:tc>
          <w:tcPr>
            <w:tcW w:w="3436" w:type="dxa"/>
          </w:tcPr>
          <w:p w:rsidR="003E3688" w:rsidRPr="00316B30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16B30">
              <w:t>4</w:t>
            </w: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Монтаж, укладка кабелей в металлические кабельные лотки вертикальным способом.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C42908">
              <w:rPr>
                <w:b/>
              </w:rPr>
              <w:t>1 этаж</w:t>
            </w:r>
            <w:r>
              <w:t>. Силовой кабель:                      120 мм</w:t>
            </w:r>
            <w:proofErr w:type="gramStart"/>
            <w:r w:rsidRPr="00C42908">
              <w:rPr>
                <w:vertAlign w:val="superscript"/>
              </w:rPr>
              <w:t>2</w:t>
            </w:r>
            <w:proofErr w:type="gramEnd"/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70 мм</w:t>
            </w:r>
            <w:proofErr w:type="gramStart"/>
            <w:r w:rsidRPr="00C42908">
              <w:rPr>
                <w:vertAlign w:val="superscript"/>
              </w:rPr>
              <w:t>2</w:t>
            </w:r>
            <w:proofErr w:type="gramEnd"/>
            <w:r>
              <w:t xml:space="preserve">                   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 xml:space="preserve"> 50 мм</w:t>
            </w:r>
            <w:proofErr w:type="gramStart"/>
            <w:r w:rsidRPr="00C42908">
              <w:rPr>
                <w:vertAlign w:val="superscript"/>
              </w:rPr>
              <w:t>2</w:t>
            </w:r>
            <w:proofErr w:type="gramEnd"/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Слаботочный кабель: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 xml:space="preserve">Телефонный кабель: 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C42908">
              <w:rPr>
                <w:b/>
              </w:rPr>
              <w:t>2 этаж</w:t>
            </w:r>
            <w:r>
              <w:t xml:space="preserve">. Силовой кабель:             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120 мм</w:t>
            </w:r>
            <w:proofErr w:type="gramStart"/>
            <w:r w:rsidRPr="00C42908">
              <w:rPr>
                <w:vertAlign w:val="superscript"/>
              </w:rPr>
              <w:t>2</w:t>
            </w:r>
            <w:proofErr w:type="gramEnd"/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70 мм</w:t>
            </w:r>
            <w:proofErr w:type="gramStart"/>
            <w:r w:rsidRPr="00C42908">
              <w:rPr>
                <w:vertAlign w:val="superscript"/>
              </w:rPr>
              <w:t>2</w:t>
            </w:r>
            <w:proofErr w:type="gramEnd"/>
            <w:r>
              <w:t xml:space="preserve">                    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50 мм</w:t>
            </w:r>
            <w:proofErr w:type="gramStart"/>
            <w:r w:rsidRPr="00C42908">
              <w:rPr>
                <w:vertAlign w:val="superscript"/>
              </w:rPr>
              <w:t>2</w:t>
            </w:r>
            <w:proofErr w:type="gramEnd"/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 xml:space="preserve">Слаботочный кабель: 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Телефонный кабель: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C42908">
              <w:rPr>
                <w:b/>
              </w:rPr>
              <w:t>3 этаж</w:t>
            </w:r>
            <w:r>
              <w:t>. Силовой кабель:                                                  120 мм</w:t>
            </w:r>
            <w:proofErr w:type="gramStart"/>
            <w:r w:rsidRPr="00C42908">
              <w:rPr>
                <w:vertAlign w:val="superscript"/>
              </w:rPr>
              <w:t>2</w:t>
            </w:r>
            <w:proofErr w:type="gramEnd"/>
          </w:p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Слаботочный кабель:</w:t>
            </w:r>
          </w:p>
        </w:tc>
        <w:tc>
          <w:tcPr>
            <w:tcW w:w="1601" w:type="dxa"/>
          </w:tcPr>
          <w:p w:rsidR="003E3688" w:rsidRPr="00316B30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16B30">
              <w:t>шт.</w:t>
            </w:r>
          </w:p>
        </w:tc>
        <w:tc>
          <w:tcPr>
            <w:tcW w:w="3436" w:type="dxa"/>
          </w:tcPr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 xml:space="preserve">Распределение кабелей и проводов  на </w:t>
            </w:r>
            <w:proofErr w:type="gramStart"/>
            <w:r w:rsidRPr="003B3FFD">
              <w:t>силовые</w:t>
            </w:r>
            <w:proofErr w:type="gramEnd"/>
            <w:r w:rsidRPr="003B3FFD">
              <w:t xml:space="preserve"> и слаботочные.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C42908">
              <w:rPr>
                <w:b/>
              </w:rPr>
              <w:t>1 этаж</w:t>
            </w:r>
            <w:r>
              <w:t xml:space="preserve">. Силовой кабель                   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Слаботочный кабель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Телефонный кабель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C42908">
              <w:rPr>
                <w:b/>
              </w:rPr>
              <w:t>2 этаж</w:t>
            </w:r>
            <w:r>
              <w:t>. Силовой кабель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Слаботочный кабель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Телефонный кабель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C42908">
              <w:rPr>
                <w:b/>
              </w:rPr>
              <w:t>3 этаж.</w:t>
            </w:r>
            <w:r>
              <w:t xml:space="preserve"> Силовой кабель</w:t>
            </w:r>
          </w:p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Слаботочный кабель</w:t>
            </w:r>
          </w:p>
        </w:tc>
        <w:tc>
          <w:tcPr>
            <w:tcW w:w="1601" w:type="dxa"/>
          </w:tcPr>
          <w:p w:rsidR="003E3688" w:rsidRPr="00316B30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16B30">
              <w:t>шт.</w:t>
            </w:r>
          </w:p>
        </w:tc>
        <w:tc>
          <w:tcPr>
            <w:tcW w:w="3436" w:type="dxa"/>
          </w:tcPr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Монтаж перегородок и крышек для вертикальных металлических кабельных лотков шириной   до 400мм.</w:t>
            </w:r>
          </w:p>
        </w:tc>
        <w:tc>
          <w:tcPr>
            <w:tcW w:w="1601" w:type="dxa"/>
          </w:tcPr>
          <w:p w:rsidR="003E3688" w:rsidRPr="00316B30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16B30">
              <w:t>шт.</w:t>
            </w:r>
          </w:p>
        </w:tc>
        <w:tc>
          <w:tcPr>
            <w:tcW w:w="3436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Монтаж поворотов лотка.</w:t>
            </w:r>
          </w:p>
        </w:tc>
        <w:tc>
          <w:tcPr>
            <w:tcW w:w="1601" w:type="dxa"/>
          </w:tcPr>
          <w:p w:rsidR="003E3688" w:rsidRPr="00316B30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16B30">
              <w:t>шт.</w:t>
            </w:r>
          </w:p>
        </w:tc>
        <w:tc>
          <w:tcPr>
            <w:tcW w:w="3436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Монтаж углов и тройников для металлических кабельных лотков.</w:t>
            </w:r>
          </w:p>
        </w:tc>
        <w:tc>
          <w:tcPr>
            <w:tcW w:w="1601" w:type="dxa"/>
          </w:tcPr>
          <w:p w:rsidR="003E3688" w:rsidRPr="00316B30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16B30">
              <w:t>шт.</w:t>
            </w:r>
          </w:p>
        </w:tc>
        <w:tc>
          <w:tcPr>
            <w:tcW w:w="3436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Крепление кабеля к металлическим кабельным лоткам вертикальным способом.</w:t>
            </w:r>
          </w:p>
        </w:tc>
        <w:tc>
          <w:tcPr>
            <w:tcW w:w="160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6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Сверле</w:t>
            </w:r>
            <w:r w:rsidRPr="003B3FFD">
              <w:t>ние проходных отверстий в междуэтажных железобетонных перекрытиях под стояковые силовые и слаботочные кабели.</w:t>
            </w:r>
          </w:p>
        </w:tc>
        <w:tc>
          <w:tcPr>
            <w:tcW w:w="1601" w:type="dxa"/>
          </w:tcPr>
          <w:p w:rsidR="003E3688" w:rsidRPr="00316B30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16B30">
              <w:t>шт.</w:t>
            </w:r>
          </w:p>
        </w:tc>
        <w:tc>
          <w:tcPr>
            <w:tcW w:w="3436" w:type="dxa"/>
          </w:tcPr>
          <w:p w:rsidR="003E3688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Коэффициент за сложность в стесненных условиях, работы</w:t>
            </w:r>
            <w:r>
              <w:t xml:space="preserve"> на высоте более 3-х метров - </w:t>
            </w:r>
            <w:r w:rsidRPr="003B3FFD">
              <w:t>%.</w:t>
            </w:r>
          </w:p>
        </w:tc>
        <w:tc>
          <w:tcPr>
            <w:tcW w:w="160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%</w:t>
            </w:r>
          </w:p>
        </w:tc>
        <w:tc>
          <w:tcPr>
            <w:tcW w:w="3436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Убора мусора в мешки.</w:t>
            </w:r>
          </w:p>
        </w:tc>
        <w:tc>
          <w:tcPr>
            <w:tcW w:w="160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436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3E3688" w:rsidRPr="003B3FFD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Работы не в</w:t>
            </w:r>
            <w:r>
              <w:t xml:space="preserve">ошедшие в данный перечень – </w:t>
            </w:r>
            <w:r w:rsidRPr="003B3FFD">
              <w:t xml:space="preserve"> </w:t>
            </w:r>
            <w:proofErr w:type="spellStart"/>
            <w:r w:rsidRPr="003B3FFD">
              <w:t>руб</w:t>
            </w:r>
            <w:proofErr w:type="spellEnd"/>
            <w:r w:rsidRPr="003B3FFD">
              <w:t xml:space="preserve">/1 </w:t>
            </w:r>
            <w:proofErr w:type="spellStart"/>
            <w:proofErr w:type="gramStart"/>
            <w:r w:rsidRPr="003B3FFD">
              <w:t>человеко</w:t>
            </w:r>
            <w:proofErr w:type="spellEnd"/>
            <w:r w:rsidRPr="003B3FFD">
              <w:t>/час</w:t>
            </w:r>
            <w:proofErr w:type="gramEnd"/>
            <w:r w:rsidRPr="003B3FFD">
              <w:t>.</w:t>
            </w:r>
          </w:p>
        </w:tc>
        <w:tc>
          <w:tcPr>
            <w:tcW w:w="160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руб</w:t>
            </w:r>
            <w:proofErr w:type="spellEnd"/>
            <w:r>
              <w:t xml:space="preserve">/1 </w:t>
            </w:r>
            <w:proofErr w:type="spellStart"/>
            <w:proofErr w:type="gramStart"/>
            <w:r w:rsidRPr="003B3FFD">
              <w:t>человеко</w:t>
            </w:r>
            <w:proofErr w:type="spellEnd"/>
            <w:r w:rsidRPr="003B3FFD">
              <w:t>/час</w:t>
            </w:r>
            <w:proofErr w:type="gramEnd"/>
          </w:p>
        </w:tc>
        <w:tc>
          <w:tcPr>
            <w:tcW w:w="3436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3688" w:rsidRPr="00852473" w:rsidTr="003E3688">
        <w:tc>
          <w:tcPr>
            <w:tcW w:w="576" w:type="dxa"/>
          </w:tcPr>
          <w:p w:rsidR="003E3688" w:rsidRPr="00A70733" w:rsidRDefault="003E3688" w:rsidP="003E3688">
            <w:pPr>
              <w:pStyle w:val="a8"/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811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B3FFD">
              <w:t>Монтаж видимой РЕ связи (защитное заземление) между металлическими лотками и с контуром заземления здания (желто-зеленый</w:t>
            </w:r>
            <w:r>
              <w:t xml:space="preserve"> многожильный гибкий</w:t>
            </w:r>
            <w:r w:rsidRPr="003B3FFD">
              <w:t xml:space="preserve"> проводник сечением не менее 4мм.кв.). </w:t>
            </w:r>
          </w:p>
        </w:tc>
        <w:tc>
          <w:tcPr>
            <w:tcW w:w="1601" w:type="dxa"/>
          </w:tcPr>
          <w:p w:rsidR="003E3688" w:rsidRPr="00316B30" w:rsidRDefault="003E3688" w:rsidP="00C93C2B">
            <w:pPr>
              <w:widowControl w:val="0"/>
              <w:autoSpaceDE w:val="0"/>
              <w:autoSpaceDN w:val="0"/>
              <w:adjustRightInd w:val="0"/>
            </w:pPr>
            <w:r w:rsidRPr="00316B30">
              <w:t>шт.</w:t>
            </w:r>
          </w:p>
        </w:tc>
        <w:tc>
          <w:tcPr>
            <w:tcW w:w="3436" w:type="dxa"/>
          </w:tcPr>
          <w:p w:rsidR="003E3688" w:rsidRPr="003B3FFD" w:rsidRDefault="003E3688" w:rsidP="00C93C2B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</w:tr>
    </w:tbl>
    <w:p w:rsidR="003E3688" w:rsidRPr="0034227E" w:rsidRDefault="003E3688" w:rsidP="003E3688">
      <w:pPr>
        <w:tabs>
          <w:tab w:val="num" w:pos="567"/>
        </w:tabs>
        <w:ind w:left="567"/>
        <w:jc w:val="both"/>
      </w:pPr>
    </w:p>
    <w:p w:rsidR="003E3688" w:rsidRPr="0034227E" w:rsidRDefault="003E3688" w:rsidP="003E3688">
      <w:pPr>
        <w:numPr>
          <w:ilvl w:val="0"/>
          <w:numId w:val="17"/>
        </w:numPr>
        <w:tabs>
          <w:tab w:val="clear" w:pos="720"/>
          <w:tab w:val="num" w:pos="0"/>
        </w:tabs>
        <w:suppressAutoHyphens w:val="0"/>
        <w:ind w:left="0" w:firstLine="142"/>
        <w:jc w:val="center"/>
        <w:rPr>
          <w:b/>
        </w:rPr>
      </w:pPr>
      <w:r w:rsidRPr="0034227E">
        <w:rPr>
          <w:b/>
        </w:rPr>
        <w:t>Требования к качеству выполнения работ</w:t>
      </w:r>
    </w:p>
    <w:p w:rsidR="003E3688" w:rsidRPr="0034227E" w:rsidRDefault="003E3688" w:rsidP="003E3688">
      <w:pPr>
        <w:tabs>
          <w:tab w:val="num" w:pos="0"/>
        </w:tabs>
        <w:ind w:firstLine="142"/>
        <w:jc w:val="both"/>
      </w:pPr>
      <w:r>
        <w:t>Выполнение работ по установке вертикальных металлических кабельных лотков «коробов»</w:t>
      </w:r>
      <w:r w:rsidRPr="00BB2C0E">
        <w:t xml:space="preserve"> </w:t>
      </w:r>
      <w:r>
        <w:t>и укладке кабелей, проводов в</w:t>
      </w:r>
      <w:r w:rsidRPr="00E46BF2">
        <w:t xml:space="preserve"> </w:t>
      </w:r>
      <w:r>
        <w:t>вертикальные металлические кабельные лотки «короба»</w:t>
      </w:r>
      <w:r w:rsidRPr="0034227E">
        <w:t xml:space="preserve"> </w:t>
      </w:r>
      <w:r>
        <w:t xml:space="preserve">    </w:t>
      </w:r>
      <w:r w:rsidRPr="0034227E">
        <w:t xml:space="preserve"> проводить согласно ПУЭ, действующих </w:t>
      </w:r>
      <w:proofErr w:type="spellStart"/>
      <w:r w:rsidRPr="0034227E">
        <w:t>ГОСТов</w:t>
      </w:r>
      <w:proofErr w:type="spellEnd"/>
      <w:r w:rsidRPr="0034227E">
        <w:t xml:space="preserve">, </w:t>
      </w:r>
      <w:proofErr w:type="spellStart"/>
      <w:r w:rsidRPr="0034227E">
        <w:t>СНиПов</w:t>
      </w:r>
      <w:proofErr w:type="spellEnd"/>
      <w:r w:rsidRPr="0034227E">
        <w:t>.</w:t>
      </w:r>
    </w:p>
    <w:p w:rsidR="003E3688" w:rsidRPr="0034227E" w:rsidRDefault="003E3688" w:rsidP="003E3688">
      <w:pPr>
        <w:tabs>
          <w:tab w:val="num" w:pos="0"/>
        </w:tabs>
        <w:ind w:firstLine="142"/>
        <w:jc w:val="both"/>
        <w:rPr>
          <w:b/>
        </w:rPr>
      </w:pPr>
    </w:p>
    <w:p w:rsidR="003E3688" w:rsidRPr="0034227E" w:rsidRDefault="003E3688" w:rsidP="003E3688">
      <w:pPr>
        <w:numPr>
          <w:ilvl w:val="0"/>
          <w:numId w:val="17"/>
        </w:numPr>
        <w:tabs>
          <w:tab w:val="clear" w:pos="720"/>
          <w:tab w:val="num" w:pos="0"/>
        </w:tabs>
        <w:suppressAutoHyphens w:val="0"/>
        <w:ind w:left="0" w:firstLine="142"/>
        <w:jc w:val="center"/>
        <w:rPr>
          <w:b/>
        </w:rPr>
      </w:pPr>
      <w:r w:rsidRPr="0034227E">
        <w:rPr>
          <w:b/>
        </w:rPr>
        <w:t>Требования к безопасности выполняемых работ</w:t>
      </w:r>
    </w:p>
    <w:p w:rsidR="003E3688" w:rsidRPr="0034227E" w:rsidRDefault="003E3688" w:rsidP="003E3688">
      <w:pPr>
        <w:tabs>
          <w:tab w:val="num" w:pos="0"/>
        </w:tabs>
        <w:ind w:firstLine="142"/>
        <w:jc w:val="both"/>
      </w:pPr>
      <w:r w:rsidRPr="0034227E">
        <w:t xml:space="preserve">Все работы по </w:t>
      </w:r>
      <w:r>
        <w:t>установке вертикальных металлических кабельных лотков «коробов» и укладке кабелей, проводов в</w:t>
      </w:r>
      <w:r w:rsidRPr="00E46BF2">
        <w:t xml:space="preserve"> </w:t>
      </w:r>
      <w:r>
        <w:t>вертикальные металлические кабельные лотки «короба</w:t>
      </w:r>
      <w:proofErr w:type="gramStart"/>
      <w:r>
        <w:t>»</w:t>
      </w:r>
      <w:r w:rsidRPr="0034227E">
        <w:t>д</w:t>
      </w:r>
      <w:proofErr w:type="gramEnd"/>
      <w:r w:rsidRPr="0034227E">
        <w:t>олжны выполняться с соблюдением норм</w:t>
      </w:r>
      <w:r>
        <w:t xml:space="preserve"> и правил пожарной безопасности </w:t>
      </w:r>
      <w:r w:rsidRPr="0034227E">
        <w:t>и правил техники безопасности при эксплуатации электроустановок.</w:t>
      </w:r>
    </w:p>
    <w:p w:rsidR="003E3688" w:rsidRPr="0034227E" w:rsidRDefault="003E3688" w:rsidP="003E3688">
      <w:pPr>
        <w:tabs>
          <w:tab w:val="num" w:pos="567"/>
        </w:tabs>
        <w:ind w:left="567"/>
        <w:jc w:val="both"/>
      </w:pPr>
    </w:p>
    <w:p w:rsidR="006753F1" w:rsidRPr="00456624" w:rsidRDefault="006753F1" w:rsidP="006753F1"/>
    <w:p w:rsidR="0031083F" w:rsidRPr="007175AA" w:rsidRDefault="007D7FAF" w:rsidP="005A2E8E">
      <w:pPr>
        <w:pStyle w:val="a8"/>
        <w:ind w:left="0" w:firstLine="708"/>
        <w:jc w:val="both"/>
      </w:pPr>
      <w:r w:rsidRPr="007D7FAF">
        <w:t xml:space="preserve"> </w:t>
      </w: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612A90">
        <w:trPr>
          <w:trHeight w:val="340"/>
        </w:trPr>
        <w:tc>
          <w:tcPr>
            <w:tcW w:w="442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</w:p>
    <w:p w:rsidR="0031083F" w:rsidRPr="007175AA" w:rsidRDefault="0031083F" w:rsidP="005A2E8E">
      <w:pPr>
        <w:jc w:val="right"/>
      </w:pPr>
    </w:p>
    <w:p w:rsidR="0031083F" w:rsidRDefault="0031083F" w:rsidP="005A2E8E">
      <w:pPr>
        <w:jc w:val="right"/>
      </w:pPr>
    </w:p>
    <w:p w:rsidR="007D7FAF" w:rsidRDefault="007D7FAF" w:rsidP="005A2E8E">
      <w:pPr>
        <w:jc w:val="right"/>
      </w:pPr>
    </w:p>
    <w:p w:rsidR="007D7FAF" w:rsidRDefault="007D7FAF" w:rsidP="005A2E8E">
      <w:pPr>
        <w:jc w:val="right"/>
      </w:pPr>
    </w:p>
    <w:p w:rsidR="007D7FAF" w:rsidRDefault="007D7FAF" w:rsidP="005A2E8E">
      <w:pPr>
        <w:jc w:val="right"/>
      </w:pPr>
    </w:p>
    <w:p w:rsidR="002D1A74" w:rsidRDefault="002D1A74" w:rsidP="005A2E8E">
      <w:pPr>
        <w:jc w:val="right"/>
      </w:pPr>
    </w:p>
    <w:p w:rsidR="008E4141" w:rsidRDefault="008E4141" w:rsidP="005A2E8E">
      <w:pPr>
        <w:jc w:val="right"/>
      </w:pPr>
    </w:p>
    <w:p w:rsidR="002D1A74" w:rsidRDefault="002D1A74" w:rsidP="005A2E8E">
      <w:pPr>
        <w:jc w:val="right"/>
      </w:pPr>
    </w:p>
    <w:p w:rsidR="002D1A74" w:rsidRDefault="002D1A74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6753F1" w:rsidRDefault="006753F1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AC0DCE" w:rsidRPr="007175AA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31083F" w:rsidRPr="007175AA">
        <w:t xml:space="preserve"> по октябрь 2022г.</w:t>
      </w:r>
    </w:p>
    <w:p w:rsidR="00AC0DCE" w:rsidRPr="007175AA" w:rsidRDefault="00AC0DCE" w:rsidP="005A2E8E"/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31083F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1594"/>
        <w:gridCol w:w="1179"/>
        <w:gridCol w:w="1170"/>
        <w:gridCol w:w="1434"/>
        <w:gridCol w:w="1604"/>
        <w:gridCol w:w="1339"/>
      </w:tblGrid>
      <w:tr w:rsidR="00AC0DCE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C0DCE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C0DCE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C0DCE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31083F" w:rsidRDefault="0031083F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lastRenderedPageBreak/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94" w:rsidRDefault="00BF4594" w:rsidP="00F03291">
      <w:r>
        <w:separator/>
      </w:r>
    </w:p>
  </w:endnote>
  <w:endnote w:type="continuationSeparator" w:id="0">
    <w:p w:rsidR="00BF4594" w:rsidRDefault="00BF4594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94" w:rsidRDefault="00BF4594" w:rsidP="00F03291">
      <w:r>
        <w:separator/>
      </w:r>
    </w:p>
  </w:footnote>
  <w:footnote w:type="continuationSeparator" w:id="0">
    <w:p w:rsidR="00BF4594" w:rsidRDefault="00BF4594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Default="00ED02B6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03E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3EB9">
      <w:rPr>
        <w:rStyle w:val="a3"/>
        <w:noProof/>
      </w:rPr>
      <w:t>7</w:t>
    </w:r>
    <w:r>
      <w:rPr>
        <w:rStyle w:val="a3"/>
      </w:rPr>
      <w:fldChar w:fldCharType="end"/>
    </w:r>
  </w:p>
  <w:p w:rsidR="00612A90" w:rsidRDefault="00612A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Pr="00CF3CDF" w:rsidRDefault="00ED02B6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903EB9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326B26">
      <w:rPr>
        <w:rStyle w:val="a3"/>
        <w:noProof/>
      </w:rPr>
      <w:t>11</w:t>
    </w:r>
    <w:r w:rsidRPr="00CF3CDF">
      <w:rPr>
        <w:rStyle w:val="a3"/>
      </w:rPr>
      <w:fldChar w:fldCharType="end"/>
    </w:r>
  </w:p>
  <w:p w:rsidR="00612A90" w:rsidRDefault="00612A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7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40309"/>
    <w:rsid w:val="000448F9"/>
    <w:rsid w:val="000B1D10"/>
    <w:rsid w:val="000C558A"/>
    <w:rsid w:val="000F680D"/>
    <w:rsid w:val="00113905"/>
    <w:rsid w:val="00117FED"/>
    <w:rsid w:val="00140BFC"/>
    <w:rsid w:val="00153A5D"/>
    <w:rsid w:val="001A2AE5"/>
    <w:rsid w:val="001A48D4"/>
    <w:rsid w:val="001B063E"/>
    <w:rsid w:val="001B0A2D"/>
    <w:rsid w:val="001E19B6"/>
    <w:rsid w:val="001F0F86"/>
    <w:rsid w:val="001F23F0"/>
    <w:rsid w:val="002151F8"/>
    <w:rsid w:val="002172EF"/>
    <w:rsid w:val="00250028"/>
    <w:rsid w:val="0026298D"/>
    <w:rsid w:val="00284689"/>
    <w:rsid w:val="00284FE1"/>
    <w:rsid w:val="00292BF4"/>
    <w:rsid w:val="002C2B11"/>
    <w:rsid w:val="002C3056"/>
    <w:rsid w:val="002C3E19"/>
    <w:rsid w:val="002D1A74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312C"/>
    <w:rsid w:val="003975B9"/>
    <w:rsid w:val="003B740B"/>
    <w:rsid w:val="003D2EF6"/>
    <w:rsid w:val="003D7F6C"/>
    <w:rsid w:val="003E3688"/>
    <w:rsid w:val="004358F0"/>
    <w:rsid w:val="00465304"/>
    <w:rsid w:val="004717A5"/>
    <w:rsid w:val="00474E74"/>
    <w:rsid w:val="00483446"/>
    <w:rsid w:val="004E0761"/>
    <w:rsid w:val="004F0993"/>
    <w:rsid w:val="00510DBB"/>
    <w:rsid w:val="00512DF1"/>
    <w:rsid w:val="00545721"/>
    <w:rsid w:val="005601FC"/>
    <w:rsid w:val="00561688"/>
    <w:rsid w:val="00567D29"/>
    <w:rsid w:val="005A2E8E"/>
    <w:rsid w:val="005E2DD3"/>
    <w:rsid w:val="00612A90"/>
    <w:rsid w:val="006279DA"/>
    <w:rsid w:val="00631680"/>
    <w:rsid w:val="006753F1"/>
    <w:rsid w:val="006A328F"/>
    <w:rsid w:val="006D1730"/>
    <w:rsid w:val="006F650E"/>
    <w:rsid w:val="00704E75"/>
    <w:rsid w:val="007175AA"/>
    <w:rsid w:val="00723EDF"/>
    <w:rsid w:val="00767BDA"/>
    <w:rsid w:val="007C44AF"/>
    <w:rsid w:val="007D0F90"/>
    <w:rsid w:val="007D7FAF"/>
    <w:rsid w:val="00836CAA"/>
    <w:rsid w:val="00847C2B"/>
    <w:rsid w:val="00852082"/>
    <w:rsid w:val="008540B8"/>
    <w:rsid w:val="008552C6"/>
    <w:rsid w:val="00886F8A"/>
    <w:rsid w:val="008953D4"/>
    <w:rsid w:val="008A5880"/>
    <w:rsid w:val="008C0636"/>
    <w:rsid w:val="008C5F11"/>
    <w:rsid w:val="008E1DFE"/>
    <w:rsid w:val="008E4141"/>
    <w:rsid w:val="00903EB9"/>
    <w:rsid w:val="00920742"/>
    <w:rsid w:val="00976C66"/>
    <w:rsid w:val="009B791F"/>
    <w:rsid w:val="009E7446"/>
    <w:rsid w:val="00A106CF"/>
    <w:rsid w:val="00A217CB"/>
    <w:rsid w:val="00A3046A"/>
    <w:rsid w:val="00A34BD9"/>
    <w:rsid w:val="00A707AB"/>
    <w:rsid w:val="00A97F75"/>
    <w:rsid w:val="00AB327B"/>
    <w:rsid w:val="00AC0DCE"/>
    <w:rsid w:val="00AC702B"/>
    <w:rsid w:val="00AF7D05"/>
    <w:rsid w:val="00B50B21"/>
    <w:rsid w:val="00B708BD"/>
    <w:rsid w:val="00B91D59"/>
    <w:rsid w:val="00BD4B61"/>
    <w:rsid w:val="00BF4594"/>
    <w:rsid w:val="00C16FE8"/>
    <w:rsid w:val="00C90EF5"/>
    <w:rsid w:val="00CD686C"/>
    <w:rsid w:val="00CE1F09"/>
    <w:rsid w:val="00D850EB"/>
    <w:rsid w:val="00DE751D"/>
    <w:rsid w:val="00E00017"/>
    <w:rsid w:val="00E43FF8"/>
    <w:rsid w:val="00E57767"/>
    <w:rsid w:val="00E705FB"/>
    <w:rsid w:val="00E871C4"/>
    <w:rsid w:val="00E94932"/>
    <w:rsid w:val="00E95ADD"/>
    <w:rsid w:val="00E95C7C"/>
    <w:rsid w:val="00ED02B6"/>
    <w:rsid w:val="00EE0711"/>
    <w:rsid w:val="00EE57B8"/>
    <w:rsid w:val="00F03291"/>
    <w:rsid w:val="00F22E10"/>
    <w:rsid w:val="00F321D1"/>
    <w:rsid w:val="00F419DB"/>
    <w:rsid w:val="00FB26F5"/>
    <w:rsid w:val="00FD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17</cp:revision>
  <cp:lastPrinted>2022-09-09T10:13:00Z</cp:lastPrinted>
  <dcterms:created xsi:type="dcterms:W3CDTF">2022-09-09T10:12:00Z</dcterms:created>
  <dcterms:modified xsi:type="dcterms:W3CDTF">2022-12-07T11:15:00Z</dcterms:modified>
</cp:coreProperties>
</file>